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54A95">
      <w:pPr>
        <w:jc w:val="center"/>
        <w:rPr>
          <w:b/>
          <w:sz w:val="40"/>
          <w:szCs w:val="44"/>
        </w:rPr>
      </w:pPr>
      <w:r>
        <w:rPr>
          <w:rFonts w:hint="eastAsia"/>
          <w:b/>
          <w:sz w:val="40"/>
          <w:szCs w:val="44"/>
        </w:rPr>
        <w:t>导师简介</w:t>
      </w:r>
    </w:p>
    <w:tbl>
      <w:tblPr>
        <w:tblStyle w:val="7"/>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2"/>
        <w:gridCol w:w="1423"/>
        <w:gridCol w:w="2182"/>
        <w:gridCol w:w="1530"/>
        <w:gridCol w:w="2520"/>
      </w:tblGrid>
      <w:tr w14:paraId="12419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2" w:type="dxa"/>
            <w:vMerge w:val="restart"/>
            <w:vAlign w:val="center"/>
          </w:tcPr>
          <w:p w14:paraId="66FAF73D">
            <w:pPr>
              <w:spacing w:line="360" w:lineRule="auto"/>
              <w:jc w:val="center"/>
              <w:rPr>
                <w:rFonts w:ascii="黑体" w:hAnsi="黑体" w:eastAsia="黑体"/>
                <w:sz w:val="28"/>
                <w:szCs w:val="28"/>
              </w:rPr>
            </w:pPr>
            <w:r>
              <w:drawing>
                <wp:inline distT="0" distB="0" distL="114300" distR="114300">
                  <wp:extent cx="1196975" cy="1163320"/>
                  <wp:effectExtent l="0" t="0" r="6985" b="10160"/>
                  <wp:docPr id="1" name="图片 1" descr="微信图片_20210519104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0519104006"/>
                          <pic:cNvPicPr>
                            <a:picLocks noChangeAspect="1"/>
                          </pic:cNvPicPr>
                        </pic:nvPicPr>
                        <pic:blipFill>
                          <a:blip r:embed="rId4"/>
                          <a:stretch>
                            <a:fillRect/>
                          </a:stretch>
                        </pic:blipFill>
                        <pic:spPr>
                          <a:xfrm>
                            <a:off x="0" y="0"/>
                            <a:ext cx="1196975" cy="1163320"/>
                          </a:xfrm>
                          <a:prstGeom prst="rect">
                            <a:avLst/>
                          </a:prstGeom>
                        </pic:spPr>
                      </pic:pic>
                    </a:graphicData>
                  </a:graphic>
                </wp:inline>
              </w:drawing>
            </w:r>
          </w:p>
        </w:tc>
        <w:tc>
          <w:tcPr>
            <w:tcW w:w="1423" w:type="dxa"/>
            <w:vAlign w:val="center"/>
          </w:tcPr>
          <w:p w14:paraId="44EBD971">
            <w:pPr>
              <w:rPr>
                <w:rFonts w:ascii="黑体" w:hAnsi="黑体" w:eastAsia="黑体"/>
                <w:sz w:val="28"/>
                <w:szCs w:val="28"/>
              </w:rPr>
            </w:pPr>
            <w:r>
              <w:rPr>
                <w:rFonts w:hint="eastAsia" w:ascii="黑体" w:hAnsi="黑体" w:eastAsia="黑体"/>
                <w:sz w:val="28"/>
                <w:szCs w:val="28"/>
              </w:rPr>
              <w:t>姓名</w:t>
            </w:r>
          </w:p>
        </w:tc>
        <w:tc>
          <w:tcPr>
            <w:tcW w:w="2182" w:type="dxa"/>
            <w:shd w:val="clear"/>
            <w:vAlign w:val="center"/>
          </w:tcPr>
          <w:p w14:paraId="2701AEAD">
            <w:pPr>
              <w:rPr>
                <w:rFonts w:ascii="宋体" w:hAnsi="宋体" w:eastAsia="宋体" w:cstheme="minorBidi"/>
                <w:kern w:val="2"/>
                <w:sz w:val="24"/>
                <w:szCs w:val="22"/>
                <w:lang w:val="en-US" w:eastAsia="zh-CN" w:bidi="ar-SA"/>
              </w:rPr>
            </w:pPr>
            <w:r>
              <w:rPr>
                <w:rFonts w:hint="eastAsia" w:ascii="宋体" w:hAnsi="宋体" w:eastAsia="宋体"/>
                <w:sz w:val="24"/>
              </w:rPr>
              <w:t>侯红平</w:t>
            </w:r>
          </w:p>
        </w:tc>
        <w:tc>
          <w:tcPr>
            <w:tcW w:w="1530" w:type="dxa"/>
            <w:vAlign w:val="center"/>
          </w:tcPr>
          <w:p w14:paraId="0696E889">
            <w:pPr>
              <w:rPr>
                <w:rFonts w:ascii="黑体" w:hAnsi="黑体" w:eastAsia="黑体"/>
                <w:sz w:val="28"/>
                <w:szCs w:val="28"/>
              </w:rPr>
            </w:pPr>
            <w:r>
              <w:rPr>
                <w:rFonts w:hint="eastAsia" w:ascii="黑体" w:hAnsi="黑体" w:eastAsia="黑体"/>
                <w:sz w:val="28"/>
                <w:szCs w:val="28"/>
              </w:rPr>
              <w:t>性别</w:t>
            </w:r>
          </w:p>
        </w:tc>
        <w:tc>
          <w:tcPr>
            <w:tcW w:w="2520" w:type="dxa"/>
            <w:vAlign w:val="center"/>
          </w:tcPr>
          <w:p w14:paraId="66638065">
            <w:pPr>
              <w:rPr>
                <w:rFonts w:ascii="宋体" w:hAnsi="宋体" w:eastAsia="宋体"/>
                <w:sz w:val="24"/>
              </w:rPr>
            </w:pPr>
            <w:r>
              <w:rPr>
                <w:rFonts w:hint="eastAsia" w:ascii="宋体" w:hAnsi="宋体" w:eastAsia="宋体"/>
                <w:sz w:val="24"/>
              </w:rPr>
              <w:t>女</w:t>
            </w:r>
          </w:p>
        </w:tc>
      </w:tr>
      <w:tr w14:paraId="0E5F5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2" w:type="dxa"/>
            <w:vMerge w:val="continue"/>
          </w:tcPr>
          <w:p w14:paraId="7A69647D">
            <w:pPr>
              <w:spacing w:line="360" w:lineRule="auto"/>
              <w:rPr>
                <w:rFonts w:asciiTheme="majorEastAsia" w:hAnsiTheme="majorEastAsia" w:eastAsiaTheme="majorEastAsia"/>
                <w:sz w:val="28"/>
                <w:szCs w:val="28"/>
              </w:rPr>
            </w:pPr>
          </w:p>
        </w:tc>
        <w:tc>
          <w:tcPr>
            <w:tcW w:w="1423" w:type="dxa"/>
            <w:vAlign w:val="center"/>
          </w:tcPr>
          <w:p w14:paraId="38411C20">
            <w:pPr>
              <w:rPr>
                <w:rFonts w:ascii="黑体" w:hAnsi="黑体" w:eastAsia="黑体"/>
                <w:sz w:val="28"/>
                <w:szCs w:val="28"/>
              </w:rPr>
            </w:pPr>
            <w:r>
              <w:rPr>
                <w:rFonts w:hint="eastAsia" w:ascii="黑体" w:hAnsi="黑体" w:eastAsia="黑体"/>
                <w:sz w:val="28"/>
                <w:szCs w:val="28"/>
              </w:rPr>
              <w:t>学位</w:t>
            </w:r>
          </w:p>
        </w:tc>
        <w:tc>
          <w:tcPr>
            <w:tcW w:w="2182" w:type="dxa"/>
            <w:shd w:val="clear"/>
            <w:vAlign w:val="center"/>
          </w:tcPr>
          <w:p w14:paraId="34E0D643">
            <w:pPr>
              <w:rPr>
                <w:rFonts w:ascii="宋体" w:hAnsi="宋体" w:eastAsia="宋体" w:cstheme="minorBidi"/>
                <w:kern w:val="2"/>
                <w:sz w:val="24"/>
                <w:szCs w:val="22"/>
                <w:lang w:val="en-US" w:eastAsia="zh-CN" w:bidi="ar-SA"/>
              </w:rPr>
            </w:pPr>
            <w:r>
              <w:rPr>
                <w:rFonts w:hint="eastAsia" w:ascii="宋体" w:hAnsi="宋体" w:eastAsia="宋体"/>
                <w:sz w:val="24"/>
              </w:rPr>
              <w:t>博士研究生</w:t>
            </w:r>
          </w:p>
        </w:tc>
        <w:tc>
          <w:tcPr>
            <w:tcW w:w="1530" w:type="dxa"/>
            <w:vAlign w:val="center"/>
          </w:tcPr>
          <w:p w14:paraId="30888BA0">
            <w:pPr>
              <w:rPr>
                <w:rFonts w:ascii="黑体" w:hAnsi="黑体" w:eastAsia="黑体"/>
                <w:sz w:val="28"/>
                <w:szCs w:val="28"/>
              </w:rPr>
            </w:pPr>
            <w:r>
              <w:rPr>
                <w:rFonts w:hint="eastAsia" w:ascii="黑体" w:hAnsi="黑体" w:eastAsia="黑体"/>
                <w:sz w:val="28"/>
                <w:szCs w:val="28"/>
              </w:rPr>
              <w:t>职称</w:t>
            </w:r>
          </w:p>
        </w:tc>
        <w:tc>
          <w:tcPr>
            <w:tcW w:w="2520" w:type="dxa"/>
            <w:vAlign w:val="center"/>
          </w:tcPr>
          <w:p w14:paraId="01615750">
            <w:pPr>
              <w:rPr>
                <w:rFonts w:ascii="宋体" w:hAnsi="宋体" w:eastAsia="宋体"/>
                <w:sz w:val="24"/>
              </w:rPr>
            </w:pPr>
            <w:r>
              <w:rPr>
                <w:rFonts w:hint="eastAsia" w:ascii="宋体" w:hAnsi="宋体" w:eastAsia="宋体"/>
                <w:sz w:val="24"/>
              </w:rPr>
              <w:t>副高</w:t>
            </w:r>
          </w:p>
        </w:tc>
      </w:tr>
      <w:tr w14:paraId="46AA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2" w:type="dxa"/>
            <w:vMerge w:val="continue"/>
          </w:tcPr>
          <w:p w14:paraId="7ABC0977">
            <w:pPr>
              <w:spacing w:line="360" w:lineRule="auto"/>
              <w:rPr>
                <w:rFonts w:asciiTheme="majorEastAsia" w:hAnsiTheme="majorEastAsia" w:eastAsiaTheme="majorEastAsia"/>
                <w:sz w:val="28"/>
                <w:szCs w:val="28"/>
              </w:rPr>
            </w:pPr>
          </w:p>
        </w:tc>
        <w:tc>
          <w:tcPr>
            <w:tcW w:w="1423" w:type="dxa"/>
            <w:vAlign w:val="center"/>
          </w:tcPr>
          <w:p w14:paraId="1AC409B0">
            <w:pPr>
              <w:rPr>
                <w:rFonts w:ascii="黑体" w:hAnsi="黑体" w:eastAsia="黑体"/>
                <w:sz w:val="28"/>
                <w:szCs w:val="28"/>
              </w:rPr>
            </w:pPr>
            <w:r>
              <w:rPr>
                <w:rFonts w:hint="eastAsia" w:ascii="黑体" w:hAnsi="黑体" w:eastAsia="黑体"/>
                <w:sz w:val="28"/>
                <w:szCs w:val="28"/>
              </w:rPr>
              <w:t>导师类别</w:t>
            </w:r>
          </w:p>
        </w:tc>
        <w:tc>
          <w:tcPr>
            <w:tcW w:w="2182" w:type="dxa"/>
            <w:shd w:val="clear"/>
            <w:vAlign w:val="center"/>
          </w:tcPr>
          <w:p w14:paraId="6DB472EF">
            <w:pPr>
              <w:rPr>
                <w:rFonts w:ascii="宋体" w:hAnsi="宋体" w:eastAsia="宋体" w:cstheme="minorBidi"/>
                <w:kern w:val="2"/>
                <w:sz w:val="24"/>
                <w:szCs w:val="22"/>
                <w:lang w:val="en-US" w:eastAsia="zh-CN" w:bidi="ar-SA"/>
              </w:rPr>
            </w:pPr>
            <w:r>
              <w:rPr>
                <w:rFonts w:hint="eastAsia" w:ascii="宋体" w:hAnsi="宋体" w:eastAsia="宋体"/>
                <w:sz w:val="24"/>
              </w:rPr>
              <w:t>硕士生导师</w:t>
            </w:r>
          </w:p>
        </w:tc>
        <w:tc>
          <w:tcPr>
            <w:tcW w:w="1530" w:type="dxa"/>
            <w:vAlign w:val="center"/>
          </w:tcPr>
          <w:p w14:paraId="3EAA3E66">
            <w:pPr>
              <w:rPr>
                <w:rFonts w:ascii="黑体" w:hAnsi="黑体" w:eastAsia="黑体"/>
                <w:sz w:val="28"/>
                <w:szCs w:val="28"/>
              </w:rPr>
            </w:pPr>
            <w:r>
              <w:rPr>
                <w:rFonts w:hint="eastAsia" w:ascii="黑体" w:hAnsi="黑体" w:eastAsia="黑体"/>
                <w:sz w:val="28"/>
                <w:szCs w:val="28"/>
              </w:rPr>
              <w:t>所属部门</w:t>
            </w:r>
          </w:p>
        </w:tc>
        <w:tc>
          <w:tcPr>
            <w:tcW w:w="2520" w:type="dxa"/>
            <w:vAlign w:val="center"/>
          </w:tcPr>
          <w:p w14:paraId="2428A766">
            <w:pPr>
              <w:rPr>
                <w:rFonts w:ascii="宋体" w:hAnsi="宋体" w:eastAsia="宋体"/>
                <w:sz w:val="24"/>
              </w:rPr>
            </w:pPr>
            <w:r>
              <w:rPr>
                <w:rFonts w:hint="eastAsia" w:ascii="宋体" w:hAnsi="宋体" w:eastAsia="宋体"/>
                <w:szCs w:val="20"/>
              </w:rPr>
              <w:t>雾化吸入制剂研究中心</w:t>
            </w:r>
          </w:p>
        </w:tc>
      </w:tr>
      <w:tr w14:paraId="0DF1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2252" w:type="dxa"/>
            <w:vMerge w:val="continue"/>
          </w:tcPr>
          <w:p w14:paraId="1CCCF3DD">
            <w:pPr>
              <w:spacing w:line="360" w:lineRule="auto"/>
              <w:rPr>
                <w:rFonts w:asciiTheme="majorEastAsia" w:hAnsiTheme="majorEastAsia" w:eastAsiaTheme="majorEastAsia"/>
                <w:sz w:val="28"/>
                <w:szCs w:val="28"/>
              </w:rPr>
            </w:pPr>
          </w:p>
        </w:tc>
        <w:tc>
          <w:tcPr>
            <w:tcW w:w="1423" w:type="dxa"/>
            <w:vAlign w:val="center"/>
          </w:tcPr>
          <w:p w14:paraId="7DB42C04">
            <w:pPr>
              <w:rPr>
                <w:rFonts w:ascii="黑体" w:hAnsi="黑体" w:eastAsia="黑体"/>
                <w:sz w:val="28"/>
                <w:szCs w:val="28"/>
              </w:rPr>
            </w:pPr>
            <w:r>
              <w:rPr>
                <w:rFonts w:hint="eastAsia" w:ascii="黑体" w:hAnsi="黑体" w:eastAsia="黑体"/>
                <w:sz w:val="28"/>
                <w:szCs w:val="28"/>
              </w:rPr>
              <w:t>研究方向</w:t>
            </w:r>
          </w:p>
        </w:tc>
        <w:tc>
          <w:tcPr>
            <w:tcW w:w="2182" w:type="dxa"/>
            <w:shd w:val="clear"/>
            <w:vAlign w:val="center"/>
          </w:tcPr>
          <w:p w14:paraId="04098147">
            <w:pPr>
              <w:rPr>
                <w:rFonts w:ascii="宋体" w:hAnsi="宋体" w:eastAsia="宋体" w:cstheme="minorBidi"/>
                <w:kern w:val="2"/>
                <w:sz w:val="28"/>
                <w:szCs w:val="28"/>
                <w:lang w:val="en-US" w:eastAsia="zh-CN" w:bidi="ar-SA"/>
              </w:rPr>
            </w:pPr>
            <w:r>
              <w:rPr>
                <w:rFonts w:hint="eastAsia" w:ascii="宋体" w:hAnsi="宋体" w:eastAsia="宋体"/>
                <w:szCs w:val="21"/>
              </w:rPr>
              <w:t>慢性疾病的新药研发及机制研究</w:t>
            </w:r>
          </w:p>
        </w:tc>
        <w:tc>
          <w:tcPr>
            <w:tcW w:w="1530" w:type="dxa"/>
            <w:vAlign w:val="center"/>
          </w:tcPr>
          <w:p w14:paraId="7BB142F4">
            <w:pPr>
              <w:rPr>
                <w:rFonts w:ascii="黑体" w:hAnsi="黑体" w:eastAsia="黑体"/>
                <w:sz w:val="28"/>
                <w:szCs w:val="28"/>
              </w:rPr>
            </w:pPr>
            <w:r>
              <w:rPr>
                <w:rFonts w:hint="eastAsia" w:ascii="黑体" w:hAnsi="黑体" w:eastAsia="黑体"/>
                <w:sz w:val="28"/>
                <w:szCs w:val="28"/>
              </w:rPr>
              <w:t>电子邮箱</w:t>
            </w:r>
          </w:p>
        </w:tc>
        <w:tc>
          <w:tcPr>
            <w:tcW w:w="2520" w:type="dxa"/>
            <w:vAlign w:val="center"/>
          </w:tcPr>
          <w:p w14:paraId="5A627364">
            <w:pPr>
              <w:rPr>
                <w:rFonts w:ascii="宋体" w:hAnsi="宋体" w:eastAsia="宋体"/>
                <w:sz w:val="24"/>
              </w:rPr>
            </w:pPr>
            <w:r>
              <w:rPr>
                <w:rFonts w:hint="default" w:ascii="Times New Roman" w:hAnsi="Times New Roman" w:eastAsia="宋体" w:cs="Times New Roman"/>
                <w:sz w:val="24"/>
              </w:rPr>
              <w:t>hphou@icmm.ac.cn</w:t>
            </w:r>
          </w:p>
        </w:tc>
      </w:tr>
      <w:tr w14:paraId="2796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2" w:hRule="atLeast"/>
          <w:jc w:val="center"/>
        </w:trPr>
        <w:tc>
          <w:tcPr>
            <w:tcW w:w="2252" w:type="dxa"/>
            <w:vAlign w:val="center"/>
          </w:tcPr>
          <w:p w14:paraId="7449F008">
            <w:pPr>
              <w:jc w:val="center"/>
              <w:rPr>
                <w:rFonts w:ascii="黑体" w:hAnsi="黑体" w:eastAsia="黑体"/>
                <w:sz w:val="28"/>
                <w:szCs w:val="28"/>
              </w:rPr>
            </w:pPr>
            <w:r>
              <w:rPr>
                <w:rFonts w:hint="eastAsia" w:ascii="黑体" w:hAnsi="黑体" w:eastAsia="黑体"/>
                <w:sz w:val="28"/>
                <w:szCs w:val="28"/>
              </w:rPr>
              <w:t>导师简介</w:t>
            </w:r>
          </w:p>
          <w:p w14:paraId="08CB506F">
            <w:pPr>
              <w:jc w:val="center"/>
              <w:rPr>
                <w:rFonts w:ascii="黑体" w:hAnsi="黑体" w:eastAsia="黑体"/>
                <w:szCs w:val="21"/>
              </w:rPr>
            </w:pPr>
            <w:r>
              <w:rPr>
                <w:rFonts w:hint="eastAsia" w:ascii="黑体" w:hAnsi="黑体" w:eastAsia="黑体"/>
                <w:szCs w:val="21"/>
              </w:rPr>
              <w:t>（不得更改表格格式，不得跨页）</w:t>
            </w:r>
          </w:p>
        </w:tc>
        <w:tc>
          <w:tcPr>
            <w:tcW w:w="7655" w:type="dxa"/>
            <w:gridSpan w:val="4"/>
          </w:tcPr>
          <w:p w14:paraId="25315B79">
            <w:pPr>
              <w:keepNext w:val="0"/>
              <w:keepLines w:val="0"/>
              <w:pageBreakBefore w:val="0"/>
              <w:widowControl/>
              <w:shd w:val="clear" w:color="auto" w:fill="FFFFFF"/>
              <w:kinsoku/>
              <w:wordWrap/>
              <w:overflowPunct/>
              <w:topLinePunct w:val="0"/>
              <w:autoSpaceDE/>
              <w:autoSpaceDN/>
              <w:bidi w:val="0"/>
              <w:adjustRightInd/>
              <w:snapToGrid/>
              <w:spacing w:line="260" w:lineRule="exact"/>
              <w:ind w:firstLine="363"/>
              <w:textAlignment w:val="auto"/>
              <w:rPr>
                <w:rFonts w:ascii="Times New Roman" w:hAnsi="Times New Roman" w:eastAsia="宋体" w:cs="Times New Roman"/>
                <w:color w:val="000000"/>
                <w:kern w:val="0"/>
                <w:sz w:val="20"/>
                <w:szCs w:val="20"/>
                <w:shd w:val="clear" w:color="auto" w:fill="FFFFFF"/>
                <w:lang w:bidi="ar"/>
              </w:rPr>
            </w:pPr>
            <w:r>
              <w:rPr>
                <w:rFonts w:hint="eastAsia" w:ascii="Times New Roman" w:hAnsi="Times New Roman" w:eastAsia="宋体" w:cs="Times New Roman"/>
                <w:color w:val="000000"/>
                <w:kern w:val="0"/>
                <w:sz w:val="20"/>
                <w:szCs w:val="20"/>
                <w:shd w:val="clear" w:color="auto" w:fill="FFFFFF"/>
                <w:lang w:val="en-US" w:eastAsia="zh-CN" w:bidi="ar"/>
              </w:rPr>
              <w:t>侯红平，女，硕导，</w:t>
            </w:r>
            <w:bookmarkStart w:id="0" w:name="_GoBack"/>
            <w:bookmarkEnd w:id="0"/>
            <w:r>
              <w:rPr>
                <w:rFonts w:hint="eastAsia" w:ascii="Times New Roman" w:hAnsi="Times New Roman" w:eastAsia="宋体" w:cs="Times New Roman"/>
                <w:color w:val="000000"/>
                <w:kern w:val="0"/>
                <w:sz w:val="20"/>
                <w:szCs w:val="20"/>
                <w:shd w:val="clear" w:color="auto" w:fill="FFFFFF"/>
                <w:lang w:bidi="ar"/>
              </w:rPr>
              <w:t>南开大学与301医院联合培养博士，生物化学与分子生物学专业。作为课题负责人承担了多项国家课题，共发表了五十余篇论文，SCI十余篇，单篇引用率超过百余次。多年来从事于慢性疾病的研发和机制研究，尤其是慢阻肺、肺动脉高压、腺样体肥大和高原疾病等模型的建立和药物治疗。构建多维度动物/细胞模型，解析气道重塑、低氧损伤等关键病理，探索靶向炎症/信号通路的新型药物；同步开发药食同源产品，结合传统理论与现代营养学，筛选抗炎抗氧化活性成分，优化复配方案并验证功效，助力慢性病预防与管理，推动基础研究与临床需求衔接。</w:t>
            </w:r>
          </w:p>
          <w:p w14:paraId="79544C92">
            <w:pPr>
              <w:keepNext w:val="0"/>
              <w:keepLines w:val="0"/>
              <w:pageBreakBefore w:val="0"/>
              <w:widowControl/>
              <w:shd w:val="clear" w:color="auto" w:fill="FFFFFF"/>
              <w:kinsoku/>
              <w:wordWrap/>
              <w:overflowPunct/>
              <w:topLinePunct w:val="0"/>
              <w:autoSpaceDE/>
              <w:autoSpaceDN/>
              <w:bidi w:val="0"/>
              <w:adjustRightInd/>
              <w:snapToGrid/>
              <w:spacing w:line="260" w:lineRule="exact"/>
              <w:ind w:firstLine="360"/>
              <w:textAlignment w:val="auto"/>
              <w:rPr>
                <w:rFonts w:ascii="Times New Roman" w:hAnsi="Times New Roman" w:eastAsia="宋体" w:cs="Times New Roman"/>
                <w:b/>
                <w:bCs/>
                <w:color w:val="000000"/>
                <w:kern w:val="0"/>
                <w:sz w:val="20"/>
                <w:szCs w:val="20"/>
                <w:shd w:val="clear" w:color="auto" w:fill="FFFFFF"/>
                <w:lang w:bidi="ar"/>
              </w:rPr>
            </w:pPr>
            <w:r>
              <w:rPr>
                <w:rFonts w:ascii="Times New Roman" w:hAnsi="Times New Roman" w:eastAsia="宋体" w:cs="Times New Roman"/>
                <w:b/>
                <w:bCs/>
                <w:color w:val="000000"/>
                <w:kern w:val="0"/>
                <w:sz w:val="20"/>
                <w:szCs w:val="20"/>
                <w:shd w:val="clear" w:color="auto" w:fill="FFFFFF"/>
                <w:lang w:bidi="ar"/>
              </w:rPr>
              <w:t>承担课题：</w:t>
            </w:r>
          </w:p>
          <w:p w14:paraId="1AF788E3">
            <w:pPr>
              <w:keepNext w:val="0"/>
              <w:keepLines w:val="0"/>
              <w:pageBreakBefore w:val="0"/>
              <w:widowControl/>
              <w:numPr>
                <w:ilvl w:val="0"/>
                <w:numId w:val="1"/>
              </w:numPr>
              <w:suppressLineNumbers w:val="0"/>
              <w:kinsoku/>
              <w:wordWrap/>
              <w:overflowPunct/>
              <w:topLinePunct w:val="0"/>
              <w:autoSpaceDE/>
              <w:autoSpaceDN/>
              <w:bidi w:val="0"/>
              <w:adjustRightInd/>
              <w:snapToGrid/>
              <w:spacing w:line="260" w:lineRule="exact"/>
              <w:ind w:left="425" w:leftChars="0" w:hanging="425"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lang w:val="en-US" w:eastAsia="zh-CN" w:bidi="ar"/>
              </w:rPr>
              <w:t>道地药材品质保障与资源持续利用全国重点实验室2024年度科研专</w:t>
            </w:r>
            <w:r>
              <w:rPr>
                <w:rFonts w:hint="eastAsia" w:ascii="Times New Roman" w:hAnsi="Times New Roman" w:cs="Times New Roman"/>
                <w:color w:val="000000"/>
                <w:kern w:val="0"/>
                <w:sz w:val="20"/>
                <w:szCs w:val="20"/>
                <w:lang w:val="en-US" w:eastAsia="zh-CN" w:bidi="ar"/>
              </w:rPr>
              <w:t>项，</w:t>
            </w:r>
            <w:r>
              <w:rPr>
                <w:rFonts w:hint="default" w:ascii="Times New Roman" w:hAnsi="Times New Roman" w:eastAsia="宋体" w:cs="Times New Roman"/>
                <w:color w:val="000000"/>
                <w:kern w:val="0"/>
                <w:sz w:val="20"/>
                <w:szCs w:val="20"/>
                <w:lang w:val="en-US" w:eastAsia="zh-CN" w:bidi="ar"/>
              </w:rPr>
              <w:t>CI2023E002-Y-43</w:t>
            </w:r>
            <w:r>
              <w:rPr>
                <w:rFonts w:hint="eastAsia" w:ascii="Times New Roman" w:hAnsi="Times New Roman" w:cs="Times New Roman"/>
                <w:color w:val="000000"/>
                <w:kern w:val="0"/>
                <w:sz w:val="20"/>
                <w:szCs w:val="20"/>
                <w:lang w:val="en-US" w:eastAsia="zh-CN" w:bidi="ar"/>
              </w:rPr>
              <w:t>，鼻</w:t>
            </w:r>
            <w:r>
              <w:rPr>
                <w:rFonts w:hint="default" w:ascii="Times New Roman" w:hAnsi="Times New Roman" w:eastAsia="宋体" w:cs="Times New Roman"/>
                <w:color w:val="000000"/>
                <w:kern w:val="0"/>
                <w:sz w:val="20"/>
                <w:szCs w:val="20"/>
                <w:lang w:val="en-US" w:eastAsia="zh-CN" w:bidi="ar"/>
              </w:rPr>
              <w:t>渊通窍颗粒对幼年腺样体肥大动物模型作用的药效物质基础及机制研究</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2024-08至 2025-08</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20万元，在研，主持。</w:t>
            </w:r>
          </w:p>
          <w:p w14:paraId="33F5AD13">
            <w:pPr>
              <w:keepNext w:val="0"/>
              <w:keepLines w:val="0"/>
              <w:pageBreakBefore w:val="0"/>
              <w:widowControl/>
              <w:numPr>
                <w:ilvl w:val="0"/>
                <w:numId w:val="1"/>
              </w:numPr>
              <w:suppressLineNumbers w:val="0"/>
              <w:kinsoku/>
              <w:wordWrap/>
              <w:overflowPunct/>
              <w:topLinePunct w:val="0"/>
              <w:autoSpaceDE/>
              <w:autoSpaceDN/>
              <w:bidi w:val="0"/>
              <w:adjustRightInd/>
              <w:snapToGrid/>
              <w:spacing w:line="260" w:lineRule="exact"/>
              <w:ind w:left="425" w:leftChars="0" w:hanging="425"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lang w:val="en-US" w:eastAsia="zh-CN" w:bidi="ar"/>
              </w:rPr>
              <w:t>国家自然科学基金委员会</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青年科学基金项目</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82104502</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基于PINK1/Parkin介导的线粒体自噬动态平衡在痰热清干预慢阻肺的机制研究</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2022-01至 2024-12</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30万元</w:t>
            </w:r>
            <w:r>
              <w:rPr>
                <w:rFonts w:hint="eastAsia" w:ascii="Times New Roman" w:hAnsi="Times New Roman" w:cs="Times New Roman"/>
                <w:color w:val="000000"/>
                <w:kern w:val="0"/>
                <w:sz w:val="20"/>
                <w:szCs w:val="20"/>
                <w:lang w:val="en-US" w:eastAsia="zh-CN" w:bidi="ar"/>
              </w:rPr>
              <w:t>，结题，</w:t>
            </w:r>
            <w:r>
              <w:rPr>
                <w:rFonts w:hint="default" w:ascii="Times New Roman" w:hAnsi="Times New Roman" w:eastAsia="宋体" w:cs="Times New Roman"/>
                <w:color w:val="000000"/>
                <w:kern w:val="0"/>
                <w:sz w:val="20"/>
                <w:szCs w:val="20"/>
                <w:lang w:val="en-US" w:eastAsia="zh-CN" w:bidi="ar"/>
              </w:rPr>
              <w:t>主持</w:t>
            </w:r>
            <w:r>
              <w:rPr>
                <w:rFonts w:hint="eastAsia" w:ascii="Times New Roman" w:hAnsi="Times New Roman" w:cs="Times New Roman"/>
                <w:color w:val="000000"/>
                <w:kern w:val="0"/>
                <w:sz w:val="20"/>
                <w:szCs w:val="20"/>
                <w:lang w:val="en-US" w:eastAsia="zh-CN" w:bidi="ar"/>
              </w:rPr>
              <w:t>。</w:t>
            </w:r>
          </w:p>
          <w:p w14:paraId="119B9BA9">
            <w:pPr>
              <w:keepNext w:val="0"/>
              <w:keepLines w:val="0"/>
              <w:pageBreakBefore w:val="0"/>
              <w:widowControl/>
              <w:numPr>
                <w:ilvl w:val="0"/>
                <w:numId w:val="1"/>
              </w:numPr>
              <w:suppressLineNumbers w:val="0"/>
              <w:kinsoku/>
              <w:wordWrap/>
              <w:overflowPunct/>
              <w:topLinePunct w:val="0"/>
              <w:autoSpaceDE/>
              <w:autoSpaceDN/>
              <w:bidi w:val="0"/>
              <w:adjustRightInd/>
              <w:snapToGrid/>
              <w:spacing w:line="260" w:lineRule="exact"/>
              <w:ind w:left="425" w:leftChars="0" w:hanging="425"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lang w:val="en-US" w:eastAsia="zh-CN" w:bidi="ar"/>
              </w:rPr>
              <w:t>科技部</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国家重点研发计划</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2019YFC1712403</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经典藏药如意珍宝片、白脉软膏代谢和毒理学研究示范</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2019-12 至 2022-12</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146.1万元</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结题</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主持</w:t>
            </w:r>
            <w:r>
              <w:rPr>
                <w:rFonts w:hint="eastAsia" w:ascii="Times New Roman" w:hAnsi="Times New Roman" w:cs="Times New Roman"/>
                <w:color w:val="000000"/>
                <w:kern w:val="0"/>
                <w:sz w:val="20"/>
                <w:szCs w:val="20"/>
                <w:lang w:val="en-US" w:eastAsia="zh-CN" w:bidi="ar"/>
              </w:rPr>
              <w:t>。</w:t>
            </w:r>
          </w:p>
          <w:p w14:paraId="54229E9B">
            <w:pPr>
              <w:keepNext w:val="0"/>
              <w:keepLines w:val="0"/>
              <w:pageBreakBefore w:val="0"/>
              <w:widowControl/>
              <w:numPr>
                <w:ilvl w:val="0"/>
                <w:numId w:val="1"/>
              </w:numPr>
              <w:suppressLineNumbers w:val="0"/>
              <w:kinsoku/>
              <w:wordWrap/>
              <w:overflowPunct/>
              <w:topLinePunct w:val="0"/>
              <w:autoSpaceDE/>
              <w:autoSpaceDN/>
              <w:bidi w:val="0"/>
              <w:adjustRightInd/>
              <w:snapToGrid/>
              <w:spacing w:line="260" w:lineRule="exact"/>
              <w:ind w:left="425" w:leftChars="0" w:hanging="425"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lang w:val="en-US" w:eastAsia="zh-CN" w:bidi="ar"/>
              </w:rPr>
              <w:t>北京市卫生和计划生育委员会</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首都卫生发展科研专项项目</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首发2018-4-4231</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痰热清雾化吸入溶液治疗慢阻肺的药效学及关键技术研究</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2018-01 至 2020-12</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19.8万元</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结题</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 xml:space="preserve">主持 </w:t>
            </w:r>
          </w:p>
          <w:p w14:paraId="235293DE">
            <w:pPr>
              <w:keepNext w:val="0"/>
              <w:keepLines w:val="0"/>
              <w:pageBreakBefore w:val="0"/>
              <w:widowControl/>
              <w:numPr>
                <w:ilvl w:val="0"/>
                <w:numId w:val="1"/>
              </w:numPr>
              <w:suppressLineNumbers w:val="0"/>
              <w:kinsoku/>
              <w:wordWrap/>
              <w:overflowPunct/>
              <w:topLinePunct w:val="0"/>
              <w:autoSpaceDE/>
              <w:autoSpaceDN/>
              <w:bidi w:val="0"/>
              <w:adjustRightInd/>
              <w:snapToGrid/>
              <w:spacing w:line="260" w:lineRule="exact"/>
              <w:ind w:left="425" w:leftChars="0" w:hanging="425" w:firstLineChars="0"/>
              <w:jc w:val="left"/>
              <w:textAlignment w:val="auto"/>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lang w:val="en-US" w:eastAsia="zh-CN" w:bidi="ar"/>
              </w:rPr>
              <w:t>中国中医科学院</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优秀青年科技人才培养专项</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ZZ13-YQ-060</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基于PINK1/Parkin介导的线粒体自噬动态平衡在痰热清干预慢阻肺的机制研究</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2019-09 至 2022-09</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35万元</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结题</w:t>
            </w:r>
            <w:r>
              <w:rPr>
                <w:rFonts w:hint="eastAsia" w:ascii="Times New Roman" w:hAnsi="Times New Roman"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 xml:space="preserve">主持 </w:t>
            </w:r>
          </w:p>
          <w:p w14:paraId="191FE306">
            <w:pPr>
              <w:keepNext w:val="0"/>
              <w:keepLines w:val="0"/>
              <w:pageBreakBefore w:val="0"/>
              <w:tabs>
                <w:tab w:val="left" w:pos="2940"/>
              </w:tabs>
              <w:kinsoku/>
              <w:wordWrap/>
              <w:overflowPunct/>
              <w:topLinePunct w:val="0"/>
              <w:autoSpaceDE/>
              <w:autoSpaceDN/>
              <w:bidi w:val="0"/>
              <w:adjustRightInd/>
              <w:snapToGrid/>
              <w:spacing w:line="260" w:lineRule="exact"/>
              <w:ind w:left="420"/>
              <w:textAlignment w:val="auto"/>
              <w:rPr>
                <w:rFonts w:ascii="Times New Roman" w:hAnsi="Times New Roman" w:eastAsia="宋体" w:cs="Times New Roman"/>
                <w:b/>
                <w:bCs/>
                <w:sz w:val="20"/>
                <w:szCs w:val="20"/>
              </w:rPr>
            </w:pPr>
            <w:r>
              <w:rPr>
                <w:rFonts w:ascii="Times New Roman" w:hAnsi="Times New Roman" w:eastAsia="宋体" w:cs="Times New Roman"/>
                <w:b/>
                <w:bCs/>
                <w:sz w:val="20"/>
                <w:szCs w:val="20"/>
              </w:rPr>
              <w:t>主要发表的文章：</w:t>
            </w:r>
          </w:p>
          <w:p w14:paraId="35785B9C">
            <w:pPr>
              <w:keepNext w:val="0"/>
              <w:keepLines w:val="0"/>
              <w:pageBreakBefore w:val="0"/>
              <w:numPr>
                <w:ilvl w:val="0"/>
                <w:numId w:val="2"/>
              </w:numPr>
              <w:kinsoku/>
              <w:wordWrap/>
              <w:overflowPunct/>
              <w:topLinePunct w:val="0"/>
              <w:autoSpaceDE/>
              <w:autoSpaceDN/>
              <w:bidi w:val="0"/>
              <w:adjustRightInd/>
              <w:snapToGrid/>
              <w:spacing w:line="260" w:lineRule="exact"/>
              <w:jc w:val="both"/>
              <w:textAlignment w:val="auto"/>
              <w:rPr>
                <w:rFonts w:hint="default" w:ascii="Times New Roman" w:hAnsi="Times New Roman" w:eastAsia="宋体" w:cs="Times New Roman"/>
                <w:i w:val="0"/>
                <w:iCs w:val="0"/>
                <w:sz w:val="20"/>
                <w:szCs w:val="20"/>
              </w:rPr>
            </w:pPr>
            <w:r>
              <w:rPr>
                <w:rFonts w:hint="default" w:ascii="Times New Roman" w:hAnsi="Times New Roman" w:eastAsia="宋体" w:cs="Times New Roman"/>
                <w:i w:val="0"/>
                <w:iCs w:val="0"/>
                <w:sz w:val="20"/>
                <w:szCs w:val="20"/>
              </w:rPr>
              <w:t>Luo</w:t>
            </w:r>
            <w:r>
              <w:rPr>
                <w:rFonts w:hint="eastAsia" w:ascii="Times New Roman" w:hAnsi="Times New Roman" w:cs="Times New Roman"/>
                <w:i w:val="0"/>
                <w:iCs w:val="0"/>
                <w:sz w:val="20"/>
                <w:szCs w:val="20"/>
                <w:lang w:val="en-US" w:eastAsia="zh-CN"/>
              </w:rPr>
              <w:t xml:space="preserve"> Q</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rPr>
              <w:t>, Peng</w:t>
            </w:r>
            <w:r>
              <w:rPr>
                <w:rFonts w:hint="eastAsia" w:ascii="Times New Roman" w:hAnsi="Times New Roman" w:cs="Times New Roman"/>
                <w:i w:val="0"/>
                <w:iCs w:val="0"/>
                <w:sz w:val="20"/>
                <w:szCs w:val="20"/>
                <w:lang w:val="en-US" w:eastAsia="zh-CN"/>
              </w:rPr>
              <w:t xml:space="preserve"> B</w:t>
            </w:r>
            <w:r>
              <w:rPr>
                <w:rFonts w:hint="default" w:ascii="Times New Roman" w:hAnsi="Times New Roman" w:eastAsia="宋体" w:cs="Times New Roman"/>
                <w:i w:val="0"/>
                <w:iCs w:val="0"/>
                <w:sz w:val="20"/>
                <w:szCs w:val="20"/>
              </w:rPr>
              <w:t>, Wei</w:t>
            </w:r>
            <w:r>
              <w:rPr>
                <w:rFonts w:hint="eastAsia" w:ascii="Times New Roman" w:hAnsi="Times New Roman" w:cs="Times New Roman"/>
                <w:i w:val="0"/>
                <w:iCs w:val="0"/>
                <w:sz w:val="20"/>
                <w:szCs w:val="20"/>
                <w:lang w:val="en-US" w:eastAsia="zh-CN"/>
              </w:rPr>
              <w:t xml:space="preserve"> X, Liu Y, Li W, Liu W, </w:t>
            </w:r>
            <w:r>
              <w:rPr>
                <w:rFonts w:hint="default" w:ascii="Times New Roman" w:hAnsi="Times New Roman" w:eastAsia="宋体" w:cs="Times New Roman"/>
                <w:i w:val="0"/>
                <w:iCs w:val="0"/>
                <w:sz w:val="20"/>
                <w:szCs w:val="20"/>
              </w:rPr>
              <w:t>Waqasd</w:t>
            </w:r>
            <w:r>
              <w:rPr>
                <w:rFonts w:hint="eastAsia" w:ascii="Times New Roman" w:hAnsi="Times New Roman" w:cs="Times New Roman"/>
                <w:i w:val="0"/>
                <w:iCs w:val="0"/>
                <w:sz w:val="20"/>
                <w:szCs w:val="20"/>
                <w:lang w:val="en-US" w:eastAsia="zh-CN"/>
              </w:rPr>
              <w:t xml:space="preserve"> A, Wang C, Ye Z, Zhang G</w:t>
            </w:r>
            <w:r>
              <w:rPr>
                <w:rFonts w:hint="eastAsia" w:ascii="Times New Roman" w:hAnsi="Times New Roman" w:cs="Times New Roman"/>
                <w:i w:val="0"/>
                <w:iCs w:val="0"/>
                <w:sz w:val="20"/>
                <w:szCs w:val="20"/>
                <w:vertAlign w:val="superscript"/>
                <w:lang w:val="en-US" w:eastAsia="zh-CN"/>
              </w:rPr>
              <w:t>#</w:t>
            </w:r>
            <w:r>
              <w:rPr>
                <w:rFonts w:hint="eastAsia" w:ascii="Times New Roman" w:hAnsi="Times New Roman" w:cs="Times New Roman"/>
                <w:i w:val="0"/>
                <w:iCs w:val="0"/>
                <w:sz w:val="20"/>
                <w:szCs w:val="20"/>
                <w:lang w:val="en-US" w:eastAsia="zh-CN"/>
              </w:rPr>
              <w:t xml:space="preserve">, </w:t>
            </w:r>
            <w:r>
              <w:rPr>
                <w:rFonts w:hint="eastAsia" w:ascii="Times New Roman" w:hAnsi="Times New Roman" w:cs="Times New Roman"/>
                <w:b/>
                <w:bCs/>
                <w:i w:val="0"/>
                <w:iCs w:val="0"/>
                <w:sz w:val="20"/>
                <w:szCs w:val="20"/>
                <w:lang w:val="en-US" w:eastAsia="zh-CN"/>
              </w:rPr>
              <w:t>Hou H</w:t>
            </w:r>
            <w:r>
              <w:rPr>
                <w:rFonts w:hint="eastAsia" w:ascii="Times New Roman" w:hAnsi="Times New Roman" w:cs="Times New Roman"/>
                <w:i w:val="0"/>
                <w:iCs w:val="0"/>
                <w:sz w:val="20"/>
                <w:szCs w:val="20"/>
                <w:vertAlign w:val="superscript"/>
                <w:lang w:val="en-US" w:eastAsia="zh-CN"/>
              </w:rPr>
              <w:t>#</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Research progress of Chinese herbal medicines and</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classic prescriptions in the treatment of COPD</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based on the TCM theory and</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medicinal characteristics</w:t>
            </w:r>
            <w:r>
              <w:rPr>
                <w:rFonts w:hint="eastAsia" w:ascii="Times New Roman" w:hAnsi="Times New Roman" w:cs="Times New Roman"/>
                <w:i w:val="0"/>
                <w:iCs w:val="0"/>
                <w:sz w:val="20"/>
                <w:szCs w:val="20"/>
                <w:lang w:val="en-US" w:eastAsia="zh-CN"/>
              </w:rPr>
              <w:t>[J]. Science of Traditional Chinese Medicine, 2024.</w:t>
            </w:r>
          </w:p>
          <w:p w14:paraId="5EEDACF2">
            <w:pPr>
              <w:keepNext w:val="0"/>
              <w:keepLines w:val="0"/>
              <w:pageBreakBefore w:val="0"/>
              <w:numPr>
                <w:ilvl w:val="0"/>
                <w:numId w:val="2"/>
              </w:numPr>
              <w:kinsoku/>
              <w:wordWrap/>
              <w:overflowPunct/>
              <w:topLinePunct w:val="0"/>
              <w:autoSpaceDE/>
              <w:autoSpaceDN/>
              <w:bidi w:val="0"/>
              <w:adjustRightInd/>
              <w:snapToGrid/>
              <w:spacing w:line="260" w:lineRule="exact"/>
              <w:jc w:val="both"/>
              <w:textAlignment w:val="auto"/>
              <w:rPr>
                <w:rFonts w:hint="default" w:ascii="Times New Roman" w:hAnsi="Times New Roman" w:eastAsia="宋体" w:cs="Times New Roman"/>
                <w:i w:val="0"/>
                <w:iCs w:val="0"/>
                <w:sz w:val="20"/>
                <w:szCs w:val="20"/>
              </w:rPr>
            </w:pPr>
            <w:r>
              <w:rPr>
                <w:rFonts w:hint="default" w:ascii="Times New Roman" w:hAnsi="Times New Roman" w:eastAsia="宋体" w:cs="Times New Roman"/>
                <w:b/>
                <w:bCs/>
                <w:i w:val="0"/>
                <w:iCs w:val="0"/>
                <w:sz w:val="20"/>
                <w:szCs w:val="20"/>
                <w:lang w:val="en-US" w:eastAsia="zh-CN"/>
              </w:rPr>
              <w:t>Hou H</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Li Y</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Xu Z, Yu Z, Peng B, Wang C, Liu W, Li W, Ye Z</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Zhang G</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xml:space="preserve">. Applications and research progress of Traditional Chinese medicine delivered via nasal administration[J]. Biomed Pharmacother, 2023,157:113933. </w:t>
            </w:r>
          </w:p>
          <w:p w14:paraId="72E54D43">
            <w:pPr>
              <w:keepNext w:val="0"/>
              <w:keepLines w:val="0"/>
              <w:pageBreakBefore w:val="0"/>
              <w:numPr>
                <w:ilvl w:val="0"/>
                <w:numId w:val="2"/>
              </w:numPr>
              <w:kinsoku/>
              <w:wordWrap/>
              <w:overflowPunct/>
              <w:topLinePunct w:val="0"/>
              <w:autoSpaceDE/>
              <w:autoSpaceDN/>
              <w:bidi w:val="0"/>
              <w:adjustRightInd/>
              <w:snapToGrid/>
              <w:spacing w:line="260" w:lineRule="exact"/>
              <w:jc w:val="both"/>
              <w:textAlignment w:val="auto"/>
              <w:rPr>
                <w:rFonts w:hint="default" w:ascii="Times New Roman" w:hAnsi="Times New Roman" w:eastAsia="宋体" w:cs="Times New Roman"/>
                <w:i w:val="0"/>
                <w:iCs w:val="0"/>
                <w:sz w:val="20"/>
                <w:szCs w:val="20"/>
              </w:rPr>
            </w:pPr>
            <w:r>
              <w:rPr>
                <w:rFonts w:hint="default" w:ascii="Times New Roman" w:hAnsi="Times New Roman" w:eastAsia="宋体" w:cs="Times New Roman"/>
                <w:i w:val="0"/>
                <w:iCs w:val="0"/>
                <w:sz w:val="20"/>
                <w:szCs w:val="20"/>
                <w:lang w:val="en-US" w:eastAsia="zh-CN"/>
              </w:rPr>
              <w:t>Liu W</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Hou H</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Li C</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Mingji C</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Li J, Cai K, Chen L, Chen W, Ye Z</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Zhong N</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xml:space="preserve">. Effects of Shiwei Longdanhua formula on LPS induced airway mucus hypersecretion, cough hypersensitivity, oxidative stress and pulmonary inflammation[J]. Biomed Pharmacother, 2023,163:114793. </w:t>
            </w:r>
          </w:p>
          <w:p w14:paraId="53D599A2">
            <w:pPr>
              <w:keepNext w:val="0"/>
              <w:keepLines w:val="0"/>
              <w:pageBreakBefore w:val="0"/>
              <w:numPr>
                <w:ilvl w:val="0"/>
                <w:numId w:val="2"/>
              </w:numPr>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Times New Roman"/>
                <w:i w:val="0"/>
                <w:iCs w:val="0"/>
                <w:sz w:val="20"/>
                <w:szCs w:val="20"/>
                <w:lang w:val="en-US" w:eastAsia="zh-CN"/>
              </w:rPr>
            </w:pPr>
            <w:r>
              <w:rPr>
                <w:rFonts w:hint="default" w:ascii="Times New Roman" w:hAnsi="Times New Roman" w:eastAsia="宋体" w:cs="Times New Roman"/>
                <w:i w:val="0"/>
                <w:iCs w:val="0"/>
                <w:sz w:val="20"/>
                <w:szCs w:val="20"/>
                <w:lang w:val="en-US" w:eastAsia="zh-CN"/>
              </w:rPr>
              <w:t>Wang Y</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Hou H</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Ren Q, Hu H, Yang T, Li X</w:t>
            </w:r>
            <w:r>
              <w:rPr>
                <w:rFonts w:hint="eastAsia" w:ascii="Times New Roman" w:hAnsi="Times New Roman" w:cs="Times New Roman"/>
                <w:i w:val="0"/>
                <w:iCs w:val="0"/>
                <w:sz w:val="20"/>
                <w:szCs w:val="20"/>
                <w:vertAlign w:val="superscript"/>
                <w:lang w:val="en-US" w:eastAsia="zh-CN"/>
              </w:rPr>
              <w:t>#</w:t>
            </w:r>
            <w:r>
              <w:rPr>
                <w:rFonts w:hint="default" w:ascii="Times New Roman" w:hAnsi="Times New Roman" w:eastAsia="宋体" w:cs="Times New Roman"/>
                <w:i w:val="0"/>
                <w:iCs w:val="0"/>
                <w:sz w:val="20"/>
                <w:szCs w:val="20"/>
                <w:lang w:val="en-US" w:eastAsia="zh-CN"/>
              </w:rPr>
              <w:t xml:space="preserve">. Natural drug sources for respiratory diseases from Fritillaria: chemical and biological analyses[J]. Chin Med, 2021,16(1):40. </w:t>
            </w:r>
          </w:p>
          <w:p w14:paraId="112A896E">
            <w:pPr>
              <w:keepNext w:val="0"/>
              <w:keepLines w:val="0"/>
              <w:pageBreakBefore w:val="0"/>
              <w:numPr>
                <w:ilvl w:val="0"/>
                <w:numId w:val="2"/>
              </w:numPr>
              <w:kinsoku/>
              <w:wordWrap/>
              <w:overflowPunct/>
              <w:topLinePunct w:val="0"/>
              <w:autoSpaceDE/>
              <w:autoSpaceDN/>
              <w:bidi w:val="0"/>
              <w:adjustRightInd/>
              <w:snapToGrid/>
              <w:spacing w:line="260" w:lineRule="exact"/>
              <w:jc w:val="both"/>
              <w:textAlignment w:val="auto"/>
              <w:rPr>
                <w:rFonts w:hint="eastAsia" w:ascii="Times New Roman" w:hAnsi="Times New Roman" w:cs="Times New Roman"/>
                <w:color w:val="000000"/>
                <w:sz w:val="22"/>
              </w:rPr>
            </w:pPr>
            <w:r>
              <w:rPr>
                <w:rFonts w:hint="default" w:ascii="Times New Roman" w:hAnsi="Times New Roman" w:eastAsia="宋体" w:cs="Times New Roman"/>
                <w:i w:val="0"/>
                <w:iCs w:val="0"/>
                <w:sz w:val="20"/>
                <w:szCs w:val="20"/>
              </w:rPr>
              <w:t>Zhang</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G</w:t>
            </w:r>
            <w:r>
              <w:rPr>
                <w:rFonts w:hint="eastAsia" w:ascii="Times New Roman" w:hAnsi="Times New Roman" w:cs="Times New Roman"/>
                <w:i w:val="0"/>
                <w:iCs w:val="0"/>
                <w:sz w:val="20"/>
                <w:szCs w:val="20"/>
                <w:vertAlign w:val="superscript"/>
                <w:lang w:val="en-US" w:eastAsia="zh-CN"/>
              </w:rPr>
              <w:t>*</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Li</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Y</w:t>
            </w:r>
            <w:r>
              <w:rPr>
                <w:rFonts w:hint="eastAsia" w:ascii="Times New Roman" w:hAnsi="Times New Roman" w:cs="Times New Roman"/>
                <w:i w:val="0"/>
                <w:iCs w:val="0"/>
                <w:sz w:val="20"/>
                <w:szCs w:val="20"/>
                <w:lang w:val="en-US" w:eastAsia="zh-CN"/>
              </w:rPr>
              <w:t>,</w:t>
            </w:r>
            <w:r>
              <w:rPr>
                <w:rFonts w:hint="default" w:ascii="Times New Roman" w:hAnsi="Times New Roman" w:eastAsia="宋体" w:cs="Times New Roman"/>
                <w:i w:val="0"/>
                <w:iCs w:val="0"/>
                <w:sz w:val="20"/>
                <w:szCs w:val="20"/>
              </w:rPr>
              <w:t xml:space="preserve"> Chen</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T</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Gao</w:t>
            </w:r>
            <w:r>
              <w:rPr>
                <w:rFonts w:hint="eastAsia" w:ascii="Times New Roman" w:hAnsi="Times New Roman" w:cs="Times New Roman"/>
                <w:i w:val="0"/>
                <w:iCs w:val="0"/>
                <w:sz w:val="20"/>
                <w:szCs w:val="20"/>
                <w:lang w:val="en-US" w:eastAsia="zh-CN"/>
              </w:rPr>
              <w:t xml:space="preserve"> Y, </w:t>
            </w:r>
            <w:r>
              <w:rPr>
                <w:rFonts w:hint="default" w:ascii="Times New Roman" w:hAnsi="Times New Roman" w:eastAsia="宋体" w:cs="Times New Roman"/>
                <w:i w:val="0"/>
                <w:iCs w:val="0"/>
                <w:sz w:val="20"/>
                <w:szCs w:val="20"/>
              </w:rPr>
              <w:t>Sun</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J</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Yang</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W</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Song</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L</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Su</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P</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Ma</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M</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Zhang</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Z</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Zhang</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H</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Yang</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Y</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Li</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H</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Ye</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i w:val="0"/>
                <w:iCs w:val="0"/>
                <w:sz w:val="20"/>
                <w:szCs w:val="20"/>
              </w:rPr>
              <w:t>Z</w:t>
            </w:r>
            <w:r>
              <w:rPr>
                <w:rFonts w:hint="eastAsia" w:ascii="Times New Roman" w:hAnsi="Times New Roman" w:cs="Times New Roman"/>
                <w:i w:val="0"/>
                <w:iCs w:val="0"/>
                <w:sz w:val="20"/>
                <w:szCs w:val="20"/>
                <w:vertAlign w:val="superscript"/>
                <w:lang w:val="en-US" w:eastAsia="zh-CN"/>
              </w:rPr>
              <w:t>#</w:t>
            </w:r>
            <w:r>
              <w:rPr>
                <w:rFonts w:hint="eastAsia" w:ascii="Times New Roman" w:hAnsi="Times New Roman" w:cs="Times New Roman"/>
                <w:i w:val="0"/>
                <w:iCs w:val="0"/>
                <w:sz w:val="20"/>
                <w:szCs w:val="20"/>
                <w:lang w:val="en-US" w:eastAsia="zh-CN"/>
              </w:rPr>
              <w:t xml:space="preserve">, </w:t>
            </w:r>
            <w:r>
              <w:rPr>
                <w:rFonts w:hint="default" w:ascii="Times New Roman" w:hAnsi="Times New Roman" w:eastAsia="宋体" w:cs="Times New Roman"/>
                <w:b/>
                <w:bCs/>
                <w:i w:val="0"/>
                <w:iCs w:val="0"/>
                <w:sz w:val="20"/>
                <w:szCs w:val="20"/>
              </w:rPr>
              <w:t>Hou</w:t>
            </w:r>
            <w:r>
              <w:rPr>
                <w:rFonts w:hint="eastAsia" w:ascii="Times New Roman" w:hAnsi="Times New Roman"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rPr>
              <w:t>H</w:t>
            </w:r>
            <w:r>
              <w:rPr>
                <w:rFonts w:hint="eastAsia" w:ascii="Times New Roman" w:hAnsi="Times New Roman" w:cs="Times New Roman"/>
                <w:i w:val="0"/>
                <w:iCs w:val="0"/>
                <w:sz w:val="20"/>
                <w:szCs w:val="20"/>
                <w:vertAlign w:val="superscript"/>
                <w:lang w:val="en-US" w:eastAsia="zh-CN"/>
              </w:rPr>
              <w:t>#</w:t>
            </w:r>
            <w:r>
              <w:rPr>
                <w:rFonts w:hint="eastAsia" w:ascii="Times New Roman" w:hAnsi="Times New Roman" w:cs="Times New Roman"/>
                <w:i w:val="0"/>
                <w:iCs w:val="0"/>
                <w:sz w:val="20"/>
                <w:szCs w:val="20"/>
                <w:lang w:val="en-US" w:eastAsia="zh-CN"/>
              </w:rPr>
              <w:t>.</w:t>
            </w:r>
            <w:r>
              <w:rPr>
                <w:rFonts w:hint="default" w:ascii="Times New Roman" w:hAnsi="Times New Roman" w:eastAsia="宋体" w:cs="Times New Roman"/>
                <w:i w:val="0"/>
                <w:iCs w:val="0"/>
                <w:sz w:val="20"/>
                <w:szCs w:val="20"/>
              </w:rPr>
              <w:t xml:space="preserve"> Comparative study of the efficacy and pharmacokinetics of reduning injection and atomization inhalation., Biomedicine &amp; Pharmacotherapy, 2019, 118: 0-109226</w:t>
            </w:r>
            <w:r>
              <w:rPr>
                <w:rFonts w:hint="eastAsia" w:ascii="Times New Roman" w:hAnsi="Times New Roman" w:cs="Times New Roman"/>
                <w:i w:val="0"/>
                <w:iCs w:val="0"/>
                <w:sz w:val="20"/>
                <w:szCs w:val="20"/>
                <w:lang w:val="en-US" w:eastAsia="zh-CN"/>
              </w:rPr>
              <w:t>.</w:t>
            </w:r>
          </w:p>
        </w:tc>
      </w:tr>
    </w:tbl>
    <w:p w14:paraId="60D245DA">
      <w:pPr>
        <w:rPr>
          <w:rFonts w:asciiTheme="majorEastAsia" w:hAnsiTheme="majorEastAsia" w:eastAsiaTheme="majorEastAsia"/>
          <w:sz w:val="24"/>
          <w:szCs w:val="28"/>
        </w:rPr>
      </w:pPr>
    </w:p>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0FE74"/>
    <w:multiLevelType w:val="singleLevel"/>
    <w:tmpl w:val="4510FE74"/>
    <w:lvl w:ilvl="0" w:tentative="0">
      <w:start w:val="1"/>
      <w:numFmt w:val="decimal"/>
      <w:suff w:val="space"/>
      <w:lvlText w:val="(%1)"/>
      <w:lvlJc w:val="left"/>
    </w:lvl>
  </w:abstractNum>
  <w:abstractNum w:abstractNumId="1">
    <w:nsid w:val="51AC7960"/>
    <w:multiLevelType w:val="singleLevel"/>
    <w:tmpl w:val="51AC7960"/>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75"/>
    <w:rsid w:val="000318A5"/>
    <w:rsid w:val="00095DAF"/>
    <w:rsid w:val="000A1656"/>
    <w:rsid w:val="000A6FFD"/>
    <w:rsid w:val="000E2016"/>
    <w:rsid w:val="0010117B"/>
    <w:rsid w:val="00120500"/>
    <w:rsid w:val="00130ED9"/>
    <w:rsid w:val="001568B7"/>
    <w:rsid w:val="0018496D"/>
    <w:rsid w:val="00192662"/>
    <w:rsid w:val="001C220B"/>
    <w:rsid w:val="001F2CEA"/>
    <w:rsid w:val="00211E75"/>
    <w:rsid w:val="00212616"/>
    <w:rsid w:val="00243547"/>
    <w:rsid w:val="0025782C"/>
    <w:rsid w:val="002D1021"/>
    <w:rsid w:val="002D7EB5"/>
    <w:rsid w:val="003105B5"/>
    <w:rsid w:val="00330599"/>
    <w:rsid w:val="00347CCB"/>
    <w:rsid w:val="0039726F"/>
    <w:rsid w:val="003B0499"/>
    <w:rsid w:val="003D30B0"/>
    <w:rsid w:val="0044647D"/>
    <w:rsid w:val="00450689"/>
    <w:rsid w:val="00452FA4"/>
    <w:rsid w:val="00494847"/>
    <w:rsid w:val="004A04E0"/>
    <w:rsid w:val="004B520C"/>
    <w:rsid w:val="005007F2"/>
    <w:rsid w:val="00524644"/>
    <w:rsid w:val="00531A00"/>
    <w:rsid w:val="0054104C"/>
    <w:rsid w:val="00576CBC"/>
    <w:rsid w:val="00580B6A"/>
    <w:rsid w:val="005915FE"/>
    <w:rsid w:val="005A036A"/>
    <w:rsid w:val="005B2037"/>
    <w:rsid w:val="005C6E22"/>
    <w:rsid w:val="005F25CE"/>
    <w:rsid w:val="00604A9B"/>
    <w:rsid w:val="006050D3"/>
    <w:rsid w:val="00606610"/>
    <w:rsid w:val="006265B2"/>
    <w:rsid w:val="006269CF"/>
    <w:rsid w:val="00640848"/>
    <w:rsid w:val="00644D39"/>
    <w:rsid w:val="00656092"/>
    <w:rsid w:val="006579BF"/>
    <w:rsid w:val="006B2DF0"/>
    <w:rsid w:val="006D0FB5"/>
    <w:rsid w:val="006E0DE4"/>
    <w:rsid w:val="00735F50"/>
    <w:rsid w:val="00772837"/>
    <w:rsid w:val="00786CC8"/>
    <w:rsid w:val="007E7364"/>
    <w:rsid w:val="008272F6"/>
    <w:rsid w:val="008D2385"/>
    <w:rsid w:val="00956636"/>
    <w:rsid w:val="009F7E55"/>
    <w:rsid w:val="00A21018"/>
    <w:rsid w:val="00A30C2D"/>
    <w:rsid w:val="00A648A4"/>
    <w:rsid w:val="00AB1D4A"/>
    <w:rsid w:val="00AB3AD7"/>
    <w:rsid w:val="00AC55C0"/>
    <w:rsid w:val="00AD3F95"/>
    <w:rsid w:val="00AF365A"/>
    <w:rsid w:val="00AF3D4D"/>
    <w:rsid w:val="00AF7005"/>
    <w:rsid w:val="00B2519D"/>
    <w:rsid w:val="00B35596"/>
    <w:rsid w:val="00B562EC"/>
    <w:rsid w:val="00B878F3"/>
    <w:rsid w:val="00B94B81"/>
    <w:rsid w:val="00BC2CF4"/>
    <w:rsid w:val="00BC3A7A"/>
    <w:rsid w:val="00BD15E6"/>
    <w:rsid w:val="00BE3697"/>
    <w:rsid w:val="00C15433"/>
    <w:rsid w:val="00C83228"/>
    <w:rsid w:val="00C92BC7"/>
    <w:rsid w:val="00CA3C87"/>
    <w:rsid w:val="00D1295E"/>
    <w:rsid w:val="00D677C8"/>
    <w:rsid w:val="00D75D29"/>
    <w:rsid w:val="00D92ADD"/>
    <w:rsid w:val="00DA7B0D"/>
    <w:rsid w:val="00DB2FF9"/>
    <w:rsid w:val="00DB78C4"/>
    <w:rsid w:val="00DC687E"/>
    <w:rsid w:val="00DE7D18"/>
    <w:rsid w:val="00DF5D94"/>
    <w:rsid w:val="00E06915"/>
    <w:rsid w:val="00E24635"/>
    <w:rsid w:val="00E25576"/>
    <w:rsid w:val="00E9450A"/>
    <w:rsid w:val="00ED54BD"/>
    <w:rsid w:val="00EE5B21"/>
    <w:rsid w:val="00F13DE3"/>
    <w:rsid w:val="00FA365D"/>
    <w:rsid w:val="00FB465F"/>
    <w:rsid w:val="00FB57A1"/>
    <w:rsid w:val="00FD2206"/>
    <w:rsid w:val="00FD2466"/>
    <w:rsid w:val="00FD3387"/>
    <w:rsid w:val="0F2E5C77"/>
    <w:rsid w:val="1ED06E90"/>
    <w:rsid w:val="4EE67943"/>
    <w:rsid w:val="5E5E1971"/>
    <w:rsid w:val="68E56825"/>
    <w:rsid w:val="690C51F4"/>
    <w:rsid w:val="7C7C0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paragraph" w:styleId="10">
    <w:name w:val="List Paragraph"/>
    <w:basedOn w:val="1"/>
    <w:qFormat/>
    <w:uiPriority w:val="34"/>
    <w:pPr>
      <w:ind w:firstLine="420" w:firstLineChars="200"/>
    </w:pPr>
  </w:style>
  <w:style w:type="character" w:customStyle="1" w:styleId="11">
    <w:name w:val="页眉 字符"/>
    <w:basedOn w:val="8"/>
    <w:link w:val="4"/>
    <w:qFormat/>
    <w:uiPriority w:val="99"/>
    <w:rPr>
      <w:sz w:val="18"/>
      <w:szCs w:val="18"/>
    </w:rPr>
  </w:style>
  <w:style w:type="character" w:customStyle="1" w:styleId="12">
    <w:name w:val="页脚 字符"/>
    <w:basedOn w:val="8"/>
    <w:link w:val="3"/>
    <w:qFormat/>
    <w:uiPriority w:val="99"/>
    <w:rPr>
      <w:sz w:val="18"/>
      <w:szCs w:val="18"/>
    </w:rPr>
  </w:style>
  <w:style w:type="character" w:customStyle="1" w:styleId="13">
    <w:name w:val="批注框文本 字符"/>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Words>
  <Characters>49</Characters>
  <Lines>1</Lines>
  <Paragraphs>1</Paragraphs>
  <TotalTime>3</TotalTime>
  <ScaleCrop>false</ScaleCrop>
  <LinksUpToDate>false</LinksUpToDate>
  <CharactersWithSpaces>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2022-02-07T06:58:00Z</dcterms:created>
  <dc:creator>lenovo</dc:creator>
  <cp:lastModifiedBy>随遇@而安</cp:lastModifiedBy>
  <cp:lastPrinted>2018-10-24T12:59:00Z</cp:lastPrinted>
  <dcterms:modified xsi:type="dcterms:W3CDTF">2026-01-20T03:30:18Z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eyJoZGlkIjoiYzIzNjhjZjkxMjg2OGJjOTQ0NThhNzBhOGI4YTVmYWYiLCJ1c2VySWQiOiI0NTY4ODM2NTIifQ==</vt:lpwstr>
  </property>
  <property fmtid="{D5CDD505-2E9C-101B-9397-08002B2CF9AE}" pid="3" name="KSOProductBuildVer">
    <vt:lpwstr>2052-12.1.0.24657</vt:lpwstr>
  </property>
  <property fmtid="{D5CDD505-2E9C-101B-9397-08002B2CF9AE}" pid="4" name="ICV">
    <vt:lpwstr>3FA7E29E42A24FD98A69EED4BA268395_12</vt:lpwstr>
  </property>
</Properties>
</file>